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rtl w:val="0"/>
        </w:rPr>
      </w:r>
    </w:p>
    <w:p w:rsidR="00000000" w:rsidDel="00000000" w:rsidP="00000000" w:rsidRDefault="00000000" w:rsidRPr="00000000" w14:paraId="00000002">
      <w:pPr>
        <w:spacing w:line="240" w:lineRule="auto"/>
        <w:rPr>
          <w:u w:val="single"/>
        </w:rPr>
      </w:pPr>
      <w:r w:rsidDel="00000000" w:rsidR="00000000" w:rsidRPr="00000000">
        <w:rPr>
          <w:u w:val="single"/>
          <w:rtl w:val="0"/>
        </w:rPr>
        <w:t xml:space="preserve">Kuehne+Nagel América del Sur y Central</w:t>
      </w:r>
    </w:p>
    <w:p w:rsidR="00000000" w:rsidDel="00000000" w:rsidP="00000000" w:rsidRDefault="00000000" w:rsidRPr="00000000" w14:paraId="00000003">
      <w:pPr>
        <w:jc w:val="left"/>
        <w:rPr>
          <w:b w:val="1"/>
          <w:sz w:val="32"/>
          <w:szCs w:val="32"/>
        </w:rPr>
      </w:pPr>
      <w:r w:rsidDel="00000000" w:rsidR="00000000" w:rsidRPr="00000000">
        <w:rPr>
          <w:rtl w:val="0"/>
        </w:rPr>
      </w:r>
    </w:p>
    <w:p w:rsidR="00000000" w:rsidDel="00000000" w:rsidP="00000000" w:rsidRDefault="00000000" w:rsidRPr="00000000" w14:paraId="00000004">
      <w:pPr>
        <w:jc w:val="center"/>
        <w:rPr>
          <w:b w:val="1"/>
          <w:sz w:val="32"/>
          <w:szCs w:val="32"/>
        </w:rPr>
      </w:pPr>
      <w:r w:rsidDel="00000000" w:rsidR="00000000" w:rsidRPr="00000000">
        <w:rPr>
          <w:b w:val="1"/>
          <w:sz w:val="32"/>
          <w:szCs w:val="32"/>
          <w:rtl w:val="0"/>
        </w:rPr>
        <w:t xml:space="preserve">Kuehne+Nagel, LATAM Cargo y Elite Group compran SAF para reducir emisiones</w:t>
      </w:r>
    </w:p>
    <w:p w:rsidR="00000000" w:rsidDel="00000000" w:rsidP="00000000" w:rsidRDefault="00000000" w:rsidRPr="00000000" w14:paraId="00000005">
      <w:pPr>
        <w:jc w:val="both"/>
        <w:rPr>
          <w:sz w:val="24"/>
          <w:szCs w:val="24"/>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pPr>
      <w:r w:rsidDel="00000000" w:rsidR="00000000" w:rsidRPr="00000000">
        <w:rPr>
          <w:rtl w:val="0"/>
        </w:rPr>
        <w:t xml:space="preserve">La inversión de más de 25.000 litros de Combustible Sostenible de Aviación (SAF), significó un hito en América del Sur y Central por la reducción del impacto medioambiental.</w:t>
      </w:r>
    </w:p>
    <w:p w:rsidR="00000000" w:rsidDel="00000000" w:rsidP="00000000" w:rsidRDefault="00000000" w:rsidRPr="00000000" w14:paraId="00000007">
      <w:pPr>
        <w:numPr>
          <w:ilvl w:val="0"/>
          <w:numId w:val="1"/>
        </w:numPr>
        <w:ind w:left="720" w:hanging="360"/>
        <w:jc w:val="both"/>
        <w:rPr/>
      </w:pPr>
      <w:r w:rsidDel="00000000" w:rsidR="00000000" w:rsidRPr="00000000">
        <w:rPr>
          <w:rtl w:val="0"/>
        </w:rPr>
        <w:t xml:space="preserve">El vuelo redujo las emisiones totales generadas por un vuelo chárter en la ruta Bogotá-Miami durante la temporada del Día de la Madre.</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Santiago, Chile. 22 de mayo de 2023</w:t>
      </w:r>
      <w:r w:rsidDel="00000000" w:rsidR="00000000" w:rsidRPr="00000000">
        <w:rPr>
          <w:rtl w:val="0"/>
        </w:rPr>
        <w:t xml:space="preserve">.- En el marco de las celebraciones del Día de la Madre, Kuehne+Nagel, LATAM Cargo y Elite Group se unieron para comprar más de 25.000 litros de Combustible Sostenible de Aviación (SAF). La cantidad adquirida permitiría reducir el equivalente al total de las emisiones generadas por un vuelo carguero en la ruta Bogotá- Miami, período en que se transportó un gran cargamento de flores, en su mayoría rosas.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El SAF es un combustible que proviene de materias primas alternativas como residuos, grasas y aceites, entre otros. Al utilizarlo en un vuelo, es mezclado junto con el de tipo convencional para producir una operación con menores niveles de CO2.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En este caso, el Combustible Sostenible de Aviación adquirido fue producido a partir de aceite de cocina usado, materia que luego de ser tratada, es mezclada con combustible jet fuel tradicional. Teniendo en cuenta que el SAF cuenta con un factor de reducción atribuido de alrededor del 80% del CO2 en su ciclo de vida en comparación al convencional, las compañías compraron una cantidad necesaria que permitiría la reducción equivalente al total de las emisiones emitidas por un vuelo en la ruta anunciada.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Para Kuehne+Nagel, esto representó un hito en su meta por desarrollar soluciones tangibles para todo tipo de clientes e industrias, con el objetivo de reducir las emisiones de CO2 en las cadenas de suministro y su impacto medioambiental. En esta línea, Ingo Goldhammer, presidente de Kuehne+Nagel para América del Sur y Central, comenta: “No cabe duda de que el cambio climático es uno de los mayores retos a los que nos enfrentamos. En Kuehne+Nagel lo sabemos y, como sector, tenemos que acelerar el camino para limitar el calentamiento global. Esta alianza que hemos logrado junto a Elite Group y LATAM Cargo, refleja que la colaboración entre empresas es el mejor camino para llevar a cabo acciones concretas, cada uno aportando desde su experiencia y sus conocimientos especializados para colaborar bajo una meta común, que nos mueve a todos”.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Por su parte, el CEO de LATAM Cargo, Andrés Bianchi, enfatiza que “esta iniciativa marca otro hito más para el grupo LATAM en nuestros esfuerzos contra el cambio climático. Queremos hacer un aporte significativo al desarrollo sostenible de la región y, para ello, nos hemos comprometido, entre otras cosas, a ser carbono neutral en 2050. Esta compra está alineada con eso ya que nos permite seguir avanzando en nuestra agenda de SAF, siendo además, un reflejo de la importancia que tiene la colaboración a lo largo de toda la cadena logística para conseguir grandes cambios. En esa línea, esperamos que ejemplos como este ayuden a capitalizar el potencial de Sudamérica en la generación SAF”.</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Elite Group, reconocido grupo del mundo floral, agrega: “La sustentabilidad se encuentra en el centro de nuestros valores en Elite Group y en cada una de nuestras unidades de negocios. Es así que entendemos la urgencia de abordar los desafíos ambientales que plantea el flete aéreo para el transporte de flores desde Colombia y Ecuador a los Estados Unidos, Canadá y partes de Europa. Nuestra incesante búsqueda de reducción de emisiones continúa, trabajando hacia nuestro objetivo de net zero. Al invertir directamente en SAF, estamos avanzando hacia la reducción de nuestras emisiones y contribuyendo a un mejor futuro para el medio ambiente. Esta iniciativa está alineada con nuestra estrategia de sostenibilidad más amplia, en la que exploramos soluciones innovadoras para lograr una cadena de suministro más sostenible”, dice Galo Sanchez, Vicepresidente Ejecutivo.</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Acorde a la </w:t>
      </w:r>
      <w:hyperlink r:id="rId7">
        <w:r w:rsidDel="00000000" w:rsidR="00000000" w:rsidRPr="00000000">
          <w:rPr>
            <w:color w:val="1155cc"/>
            <w:u w:val="single"/>
            <w:rtl w:val="0"/>
          </w:rPr>
          <w:t xml:space="preserve">IATA</w:t>
        </w:r>
      </w:hyperlink>
      <w:r w:rsidDel="00000000" w:rsidR="00000000" w:rsidRPr="00000000">
        <w:rPr>
          <w:rtl w:val="0"/>
        </w:rPr>
        <w:t xml:space="preserve">, actualmente el uso de SAF puede marcar una gran diferencia en la descarbonización de la industria aérea. Sin embargo, las cantidades de este combustible disponibles a nivel mundial son limitadas, debido principalmente a la falta de condiciones necesarias para su investigación, desarrollo y producción. Por ello se hace necesario un trabajo colaborativo entre los distintos actores involucrados en la industria.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sz w:val="24"/>
          <w:szCs w:val="24"/>
        </w:rPr>
      </w:pPr>
      <w:r w:rsidDel="00000000" w:rsidR="00000000" w:rsidRPr="00000000">
        <w:rPr>
          <w:b w:val="1"/>
          <w:sz w:val="24"/>
          <w:szCs w:val="24"/>
          <w:rtl w:val="0"/>
        </w:rPr>
        <w:t xml:space="preserve">Compromiso con la sostenibilidad</w:t>
      </w:r>
    </w:p>
    <w:p w:rsidR="00000000" w:rsidDel="00000000" w:rsidP="00000000" w:rsidRDefault="00000000" w:rsidRPr="00000000" w14:paraId="00000018">
      <w:pPr>
        <w:jc w:val="both"/>
        <w:rPr>
          <w:b w:val="1"/>
          <w:sz w:val="24"/>
          <w:szCs w:val="24"/>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En marzo, Kuehne+Nagel comunicó su nueva estrategia de negocio de cara a los próximos cuatro años y, para cumplir su meta, establecieron los siguientes pilares prioritarios: Experiencia Kuehne+Nagel, Ecosistema Digital, Potencial de Mercados y Living ESG. Este último con foco en desarrollar acciones concretas que contribuyan a disminuir el impacto ambiental, junto con trabajar a nivel social con las comunidades contando con el soporte de estructura de gobernanza consolidada. En su compromiso con descarbonizar la industria, la empresa ha logrado importantes acuerdos a nivel global para poder ofrecer SAF en los 100 países en donde opera.</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Adicional a esto, Kuehne+Nagel cuenta con plataformas para sus clientes como </w:t>
      </w:r>
      <w:hyperlink r:id="rId8">
        <w:r w:rsidDel="00000000" w:rsidR="00000000" w:rsidRPr="00000000">
          <w:rPr>
            <w:color w:val="1155cc"/>
            <w:u w:val="single"/>
            <w:rtl w:val="0"/>
          </w:rPr>
          <w:t xml:space="preserve">myKN</w:t>
        </w:r>
      </w:hyperlink>
      <w:r w:rsidDel="00000000" w:rsidR="00000000" w:rsidRPr="00000000">
        <w:rPr>
          <w:rtl w:val="0"/>
        </w:rPr>
        <w:t xml:space="preserve"> y </w:t>
      </w:r>
      <w:hyperlink r:id="rId9">
        <w:r w:rsidDel="00000000" w:rsidR="00000000" w:rsidRPr="00000000">
          <w:rPr>
            <w:color w:val="1155cc"/>
            <w:u w:val="single"/>
            <w:rtl w:val="0"/>
          </w:rPr>
          <w:t xml:space="preserve">SeaExplorer</w:t>
        </w:r>
      </w:hyperlink>
      <w:r w:rsidDel="00000000" w:rsidR="00000000" w:rsidRPr="00000000">
        <w:rPr>
          <w:rtl w:val="0"/>
        </w:rPr>
        <w:t xml:space="preserve">, capaces de proporcionar visibilidad sobre las emisiones de carbono de las operaciones, además de brindar reportería que busca medir, evitar y reducir la huella de carbono en torno a los procesos logísticos.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Por su parte, el grupo LATAM lanzó, en mayo de 2021, su renovada estrategia de sostenibilidad en la que estableció desafiantes metas: que el SAF represente el 5% de todo el consumo de combustible en sus operaciones a 2030, lograr la carbono neutralidad al 2050, eliminar los plásticos de un solo uso en 2023; y convertirse en un grupo cero residuos a relleno sanitario en 2027.</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center"/>
        <w:rPr>
          <w:b w:val="1"/>
          <w:i w:val="1"/>
        </w:rPr>
      </w:pPr>
      <w:r w:rsidDel="00000000" w:rsidR="00000000" w:rsidRPr="00000000">
        <w:rPr>
          <w:b w:val="1"/>
          <w:i w:val="1"/>
          <w:rtl w:val="0"/>
        </w:rPr>
        <w:t xml:space="preserve">###</w:t>
      </w:r>
    </w:p>
    <w:p w:rsidR="00000000" w:rsidDel="00000000" w:rsidP="00000000" w:rsidRDefault="00000000" w:rsidRPr="00000000" w14:paraId="00000020">
      <w:pPr>
        <w:rPr>
          <w:u w:val="single"/>
        </w:rPr>
      </w:pPr>
      <w:r w:rsidDel="00000000" w:rsidR="00000000" w:rsidRPr="00000000">
        <w:rPr>
          <w:rtl w:val="0"/>
        </w:rPr>
      </w:r>
    </w:p>
    <w:p w:rsidR="00000000" w:rsidDel="00000000" w:rsidP="00000000" w:rsidRDefault="00000000" w:rsidRPr="00000000" w14:paraId="00000021">
      <w:pPr>
        <w:rPr>
          <w:sz w:val="18"/>
          <w:szCs w:val="18"/>
          <w:u w:val="single"/>
        </w:rPr>
      </w:pPr>
      <w:r w:rsidDel="00000000" w:rsidR="00000000" w:rsidRPr="00000000">
        <w:rPr>
          <w:sz w:val="18"/>
          <w:szCs w:val="18"/>
          <w:u w:val="single"/>
          <w:rtl w:val="0"/>
        </w:rPr>
        <w:t xml:space="preserve">Sobre Kuehne+Nagel</w:t>
      </w:r>
    </w:p>
    <w:p w:rsidR="00000000" w:rsidDel="00000000" w:rsidP="00000000" w:rsidRDefault="00000000" w:rsidRPr="00000000" w14:paraId="00000022">
      <w:pPr>
        <w:rPr>
          <w:sz w:val="18"/>
          <w:szCs w:val="18"/>
        </w:rPr>
      </w:pPr>
      <w:r w:rsidDel="00000000" w:rsidR="00000000" w:rsidRPr="00000000">
        <w:rPr>
          <w:sz w:val="18"/>
          <w:szCs w:val="18"/>
          <w:rtl w:val="0"/>
        </w:rPr>
        <w:t xml:space="preserve">Con más de 79.000 empleados en casi 1.300 centros en 100 países, el Grupo Kuehne+Nagel es una de las empresas de logística líderes en el mundo. Su posición en el mercado se enfoca en la logística marítima, aérea, por carretera y de contratos, con un claro enfoque en soluciones logísticas integradas.</w:t>
      </w:r>
    </w:p>
    <w:p w:rsidR="00000000" w:rsidDel="00000000" w:rsidP="00000000" w:rsidRDefault="00000000" w:rsidRPr="00000000" w14:paraId="00000023">
      <w:pPr>
        <w:rPr>
          <w:sz w:val="18"/>
          <w:szCs w:val="18"/>
          <w:u w:val="single"/>
        </w:rPr>
      </w:pPr>
      <w:r w:rsidDel="00000000" w:rsidR="00000000" w:rsidRPr="00000000">
        <w:rPr>
          <w:rtl w:val="0"/>
        </w:rPr>
      </w:r>
    </w:p>
    <w:p w:rsidR="00000000" w:rsidDel="00000000" w:rsidP="00000000" w:rsidRDefault="00000000" w:rsidRPr="00000000" w14:paraId="00000024">
      <w:pPr>
        <w:rPr>
          <w:sz w:val="18"/>
          <w:szCs w:val="18"/>
          <w:u w:val="single"/>
        </w:rPr>
      </w:pPr>
      <w:r w:rsidDel="00000000" w:rsidR="00000000" w:rsidRPr="00000000">
        <w:rPr>
          <w:sz w:val="18"/>
          <w:szCs w:val="18"/>
          <w:u w:val="single"/>
          <w:rtl w:val="0"/>
        </w:rPr>
        <w:t xml:space="preserve">Sobre LATAM Airlines </w:t>
      </w:r>
    </w:p>
    <w:p w:rsidR="00000000" w:rsidDel="00000000" w:rsidP="00000000" w:rsidRDefault="00000000" w:rsidRPr="00000000" w14:paraId="00000025">
      <w:pPr>
        <w:rPr>
          <w:sz w:val="18"/>
          <w:szCs w:val="18"/>
        </w:rPr>
      </w:pPr>
      <w:r w:rsidDel="00000000" w:rsidR="00000000" w:rsidRPr="00000000">
        <w:rPr>
          <w:sz w:val="18"/>
          <w:szCs w:val="18"/>
          <w:rtl w:val="0"/>
        </w:rPr>
        <w:t xml:space="preserve">LATAM y sus filiales son el principal grupo de aerolíneas de Latinoamérica, con presencia en cinco mercados domésticos de la región: Brasil, Chile, Colombia, Ecuador y Perú, además de operaciones internacionales dentro de Latinoamérica y hacia Europa, Oceanía, Estados Unidos y el caribe.</w:t>
      </w:r>
    </w:p>
    <w:p w:rsidR="00000000" w:rsidDel="00000000" w:rsidP="00000000" w:rsidRDefault="00000000" w:rsidRPr="00000000" w14:paraId="00000026">
      <w:pPr>
        <w:rPr>
          <w:sz w:val="18"/>
          <w:szCs w:val="18"/>
        </w:rPr>
      </w:pPr>
      <w:r w:rsidDel="00000000" w:rsidR="00000000" w:rsidRPr="00000000">
        <w:rPr>
          <w:sz w:val="18"/>
          <w:szCs w:val="18"/>
          <w:rtl w:val="0"/>
        </w:rPr>
        <w:t xml:space="preserve">El Grupo cuenta con una flota de aviones Boeing 767, 777, 787, Airbus A321, A320, A320neo y A319.</w:t>
      </w:r>
    </w:p>
    <w:p w:rsidR="00000000" w:rsidDel="00000000" w:rsidP="00000000" w:rsidRDefault="00000000" w:rsidRPr="00000000" w14:paraId="00000027">
      <w:pPr>
        <w:rPr>
          <w:sz w:val="18"/>
          <w:szCs w:val="18"/>
        </w:rPr>
      </w:pPr>
      <w:r w:rsidDel="00000000" w:rsidR="00000000" w:rsidRPr="00000000">
        <w:rPr>
          <w:sz w:val="18"/>
          <w:szCs w:val="18"/>
          <w:rtl w:val="0"/>
        </w:rPr>
        <w:t xml:space="preserve">LATAM Cargo Chile, LATAM Cargo Colombia y LATAM Cargo Brasil son las filiales de carga del grupo LATAM, teniendo una flota combinada de 17 aviones de carga, que aumentará gradualmente a un total de hasta 19 aviones de carga para 2024. Estas subsidiarias de carga cuentan con acceso a los aviones de pasajeros del grupo y operan dentro de la red del grupo LATAM, así como en rutas internacionales exclusivas para el transporte de carga. Además, ofrecen una moderna infraestructura y una amplia variedad de servicios y opciones de atención para satisfacer las necesidades de sus clientes.</w:t>
      </w:r>
    </w:p>
    <w:p w:rsidR="00000000" w:rsidDel="00000000" w:rsidP="00000000" w:rsidRDefault="00000000" w:rsidRPr="00000000" w14:paraId="00000028">
      <w:pPr>
        <w:rPr>
          <w:sz w:val="18"/>
          <w:szCs w:val="18"/>
        </w:rPr>
      </w:pPr>
      <w:r w:rsidDel="00000000" w:rsidR="00000000" w:rsidRPr="00000000">
        <w:rPr>
          <w:rtl w:val="0"/>
        </w:rPr>
      </w:r>
    </w:p>
    <w:p w:rsidR="00000000" w:rsidDel="00000000" w:rsidP="00000000" w:rsidRDefault="00000000" w:rsidRPr="00000000" w14:paraId="00000029">
      <w:pPr>
        <w:rPr>
          <w:sz w:val="18"/>
          <w:szCs w:val="18"/>
          <w:u w:val="single"/>
        </w:rPr>
      </w:pPr>
      <w:r w:rsidDel="00000000" w:rsidR="00000000" w:rsidRPr="00000000">
        <w:rPr>
          <w:sz w:val="18"/>
          <w:szCs w:val="18"/>
          <w:u w:val="single"/>
          <w:rtl w:val="0"/>
        </w:rPr>
        <w:t xml:space="preserve">Sobre Elite Group</w:t>
      </w:r>
    </w:p>
    <w:p w:rsidR="00000000" w:rsidDel="00000000" w:rsidP="00000000" w:rsidRDefault="00000000" w:rsidRPr="00000000" w14:paraId="0000002A">
      <w:pPr>
        <w:rPr>
          <w:sz w:val="18"/>
          <w:szCs w:val="18"/>
        </w:rPr>
      </w:pPr>
      <w:r w:rsidDel="00000000" w:rsidR="00000000" w:rsidRPr="00000000">
        <w:rPr>
          <w:sz w:val="18"/>
          <w:szCs w:val="18"/>
          <w:rtl w:val="0"/>
        </w:rPr>
        <w:t xml:space="preserve">La trayectoria de Elite Group, con su inicio en Elite Flower, se remonta a 1991, cuando el pionero de la industria floral Peter Hannaford plantó unas hectáreas de rosas en Colombia con el apoyo de su esposa y algunos parientes. Elite Group, ahora con más de 25 unidades de negocio alrededor del mundo, continúa cultivando avances revolucionarios en automatización, logística y procesamiento para garantizar la máxima frescura sin comprometer sus prácticas de sostenibilidad. En la actualidad, un equipo de expertos florales guía a Elite Group en su pleno florecimiento hasta convertirse en la mayor y más innovador grupo  floral del mundo. </w:t>
      </w:r>
    </w:p>
    <w:p w:rsidR="00000000" w:rsidDel="00000000" w:rsidP="00000000" w:rsidRDefault="00000000" w:rsidRPr="00000000" w14:paraId="0000002B">
      <w:pPr>
        <w:rPr>
          <w:sz w:val="18"/>
          <w:szCs w:val="18"/>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headerReference r:id="rId10" w:type="default"/>
      <w:pgSz w:h="15840" w:w="12240" w:orient="portrait"/>
      <w:pgMar w:bottom="1440" w:top="212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drawing>
        <wp:anchor allowOverlap="1" behindDoc="1" distB="0" distT="0" distL="0" distR="0" hidden="0" layoutInCell="1" locked="0" relativeHeight="0" simplePos="0">
          <wp:simplePos x="0" y="0"/>
          <wp:positionH relativeFrom="page">
            <wp:posOffset>5686425</wp:posOffset>
          </wp:positionH>
          <wp:positionV relativeFrom="page">
            <wp:posOffset>666750</wp:posOffset>
          </wp:positionV>
          <wp:extent cx="1776413" cy="357708"/>
          <wp:effectExtent b="0" l="0" r="0" t="0"/>
          <wp:wrapNone/>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76413" cy="357708"/>
                  </a:xfrm>
                  <a:prstGeom prst="rect"/>
                  <a:ln/>
                </pic:spPr>
              </pic:pic>
            </a:graphicData>
          </a:graphic>
        </wp:anchor>
      </w:drawing>
    </w:r>
    <w:r w:rsidDel="00000000" w:rsidR="00000000" w:rsidRPr="00000000">
      <w:rPr/>
      <w:drawing>
        <wp:inline distB="114300" distT="114300" distL="114300" distR="114300">
          <wp:extent cx="1634987" cy="671513"/>
          <wp:effectExtent b="0" l="0" r="0" t="0"/>
          <wp:docPr id="1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634987" cy="671513"/>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922428" cy="739407"/>
          <wp:effectExtent b="0" l="0" r="0" t="0"/>
          <wp:docPr id="13"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922428" cy="739407"/>
                  </a:xfrm>
                  <a:prstGeom prst="rect"/>
                  <a:ln/>
                </pic:spPr>
              </pic:pic>
            </a:graphicData>
          </a:graphic>
        </wp:inline>
      </w:drawing>
    </w: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Header">
    <w:name w:val="header"/>
    <w:basedOn w:val="Normal"/>
    <w:link w:val="HeaderChar"/>
    <w:uiPriority w:val="99"/>
    <w:unhideWhenUsed w:val="1"/>
    <w:rsid w:val="0079010D"/>
    <w:pPr>
      <w:tabs>
        <w:tab w:val="center" w:pos="4419"/>
        <w:tab w:val="right" w:pos="8838"/>
      </w:tabs>
      <w:spacing w:line="240" w:lineRule="auto"/>
    </w:pPr>
  </w:style>
  <w:style w:type="character" w:styleId="HeaderChar" w:customStyle="1">
    <w:name w:val="Header Char"/>
    <w:basedOn w:val="DefaultParagraphFont"/>
    <w:link w:val="Header"/>
    <w:uiPriority w:val="99"/>
    <w:rsid w:val="0079010D"/>
  </w:style>
  <w:style w:type="paragraph" w:styleId="Footer">
    <w:name w:val="footer"/>
    <w:basedOn w:val="Normal"/>
    <w:link w:val="FooterChar"/>
    <w:uiPriority w:val="99"/>
    <w:unhideWhenUsed w:val="1"/>
    <w:rsid w:val="0079010D"/>
    <w:pPr>
      <w:tabs>
        <w:tab w:val="center" w:pos="4419"/>
        <w:tab w:val="right" w:pos="8838"/>
      </w:tabs>
      <w:spacing w:line="240" w:lineRule="auto"/>
    </w:pPr>
  </w:style>
  <w:style w:type="character" w:styleId="FooterChar" w:customStyle="1">
    <w:name w:val="Footer Char"/>
    <w:basedOn w:val="DefaultParagraphFont"/>
    <w:link w:val="Footer"/>
    <w:uiPriority w:val="99"/>
    <w:rsid w:val="0079010D"/>
  </w:style>
  <w:style w:type="paragraph" w:styleId="CommentSubject">
    <w:name w:val="annotation subject"/>
    <w:basedOn w:val="CommentText"/>
    <w:next w:val="CommentText"/>
    <w:link w:val="CommentSubjectChar"/>
    <w:uiPriority w:val="99"/>
    <w:semiHidden w:val="1"/>
    <w:unhideWhenUsed w:val="1"/>
    <w:rsid w:val="00D9045B"/>
    <w:rPr>
      <w:b w:val="1"/>
      <w:bCs w:val="1"/>
    </w:rPr>
  </w:style>
  <w:style w:type="character" w:styleId="CommentSubjectChar" w:customStyle="1">
    <w:name w:val="Comment Subject Char"/>
    <w:basedOn w:val="CommentTextChar"/>
    <w:link w:val="CommentSubject"/>
    <w:uiPriority w:val="99"/>
    <w:semiHidden w:val="1"/>
    <w:rsid w:val="00D9045B"/>
    <w:rPr>
      <w:b w:val="1"/>
      <w:bCs w:val="1"/>
      <w:sz w:val="20"/>
      <w:szCs w:val="20"/>
    </w:rPr>
  </w:style>
  <w:style w:type="paragraph" w:styleId="BalloonText">
    <w:name w:val="Balloon Text"/>
    <w:basedOn w:val="Normal"/>
    <w:link w:val="BalloonTextChar"/>
    <w:uiPriority w:val="99"/>
    <w:semiHidden w:val="1"/>
    <w:unhideWhenUsed w:val="1"/>
    <w:rsid w:val="008277F0"/>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277F0"/>
    <w:rPr>
      <w:rFonts w:ascii="Segoe UI" w:cs="Segoe UI" w:hAnsi="Segoe UI"/>
      <w:sz w:val="18"/>
      <w:szCs w:val="18"/>
    </w:rPr>
  </w:style>
  <w:style w:type="paragraph" w:styleId="Revision">
    <w:name w:val="Revision"/>
    <w:hidden w:val="1"/>
    <w:uiPriority w:val="99"/>
    <w:semiHidden w:val="1"/>
    <w:rsid w:val="002718F6"/>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seaexplore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ata.org/en/iata-repository/pressroom/fact-sheets/fact-sheet---alternative-fuels/" TargetMode="External"/><Relationship Id="rId8" Type="http://schemas.openxmlformats.org/officeDocument/2006/relationships/hyperlink" Target="https://mykn.kuehne-nagel.com/ac/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rO6tNRaqL7+LssWMuy6+QgdpWg==">CgMxLjA4AHIhMW9IUU5BZTM4eTNaUjlDVW02aUxUZS14RF9sOVFVY3J6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2023-05-17T13:02:00Z</dcterms:created>
  <dc:creator>Lagno, Andrea / Kuehne + Nagel / Scl RM-K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4879706d8900a47f42f269ff807f76c241f9394f19e1d31c567bf5515c7f0f6c</vt:lpwstr>
  </property>
</Properties>
</file>